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4BB755A0"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AC6EB3">
        <w:rPr>
          <w:b/>
          <w:sz w:val="24"/>
          <w:szCs w:val="24"/>
          <w:lang w:eastAsia="ko-KR"/>
        </w:rPr>
        <w:t>3e</w:t>
      </w:r>
      <w:r w:rsidRPr="00C41855">
        <w:rPr>
          <w:rFonts w:hint="eastAsia"/>
          <w:b/>
          <w:sz w:val="24"/>
          <w:szCs w:val="24"/>
        </w:rPr>
        <w:tab/>
      </w:r>
      <w:r w:rsidR="0091640D" w:rsidRPr="0091640D">
        <w:rPr>
          <w:b/>
          <w:sz w:val="24"/>
          <w:szCs w:val="24"/>
        </w:rPr>
        <w:t>R1-20</w:t>
      </w:r>
      <w:r w:rsidR="00167316">
        <w:rPr>
          <w:b/>
          <w:sz w:val="24"/>
          <w:szCs w:val="24"/>
        </w:rPr>
        <w:t>0831</w:t>
      </w:r>
      <w:r w:rsidR="00430889">
        <w:rPr>
          <w:b/>
          <w:sz w:val="24"/>
          <w:szCs w:val="24"/>
        </w:rPr>
        <w:t>1</w:t>
      </w:r>
    </w:p>
    <w:p w14:paraId="12AD8480" w14:textId="68038A09" w:rsidR="000C76CE" w:rsidRPr="00C41855" w:rsidRDefault="00AC6EB3" w:rsidP="006F7EFD">
      <w:pPr>
        <w:pStyle w:val="CRCoverPage"/>
        <w:outlineLvl w:val="0"/>
        <w:rPr>
          <w:b/>
          <w:noProof/>
          <w:sz w:val="24"/>
          <w:szCs w:val="24"/>
        </w:rPr>
      </w:pPr>
      <w:r>
        <w:rPr>
          <w:rFonts w:eastAsia="MS Mincho" w:cs="Arial"/>
          <w:b/>
          <w:bCs/>
          <w:sz w:val="24"/>
          <w:szCs w:val="24"/>
          <w:lang w:eastAsia="ja-JP"/>
        </w:rPr>
        <w:t>October</w:t>
      </w:r>
      <w:r w:rsidR="009B678F" w:rsidRPr="00C41855">
        <w:rPr>
          <w:rFonts w:eastAsia="MS Mincho" w:cs="Arial"/>
          <w:b/>
          <w:bCs/>
          <w:sz w:val="24"/>
          <w:szCs w:val="24"/>
          <w:lang w:eastAsia="ja-JP"/>
        </w:rPr>
        <w:t xml:space="preserve"> </w:t>
      </w:r>
      <w:r>
        <w:rPr>
          <w:rFonts w:eastAsia="MS Mincho" w:cs="Arial"/>
          <w:b/>
          <w:bCs/>
          <w:sz w:val="24"/>
          <w:szCs w:val="24"/>
          <w:lang w:eastAsia="ja-JP"/>
        </w:rPr>
        <w:t>26</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 </w:t>
      </w:r>
      <w:r>
        <w:rPr>
          <w:rFonts w:eastAsia="MS Mincho" w:cs="Arial"/>
          <w:b/>
          <w:bCs/>
          <w:sz w:val="24"/>
          <w:szCs w:val="24"/>
          <w:lang w:eastAsia="ja-JP"/>
        </w:rPr>
        <w:t>November 13</w:t>
      </w:r>
      <w:r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2020</w:t>
      </w:r>
    </w:p>
    <w:p w14:paraId="25C0CC03" w14:textId="77777777" w:rsidR="00154194" w:rsidRPr="00302569" w:rsidRDefault="00154194" w:rsidP="006C551E">
      <w:pPr>
        <w:ind w:firstLineChars="0" w:firstLine="0"/>
        <w:rPr>
          <w:rFonts w:ascii="Arial" w:hAnsi="Arial" w:cs="Arial"/>
          <w:b/>
          <w:sz w:val="22"/>
          <w:lang w:eastAsia="zh-CN"/>
        </w:rPr>
      </w:pPr>
    </w:p>
    <w:p w14:paraId="705F5AB1" w14:textId="7ABC968C"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24CEE57A"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XR Evaluations for NR: Applications and Evaluation Methodology</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17803EAF" w14:textId="0F167441" w:rsidR="00EA65BB" w:rsidRP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discuss XR applications of interest, and we identify </w:t>
      </w:r>
      <w:r w:rsidR="001305A4">
        <w:rPr>
          <w:rFonts w:ascii="Calibri" w:hAnsi="Calibri" w:cs="Calibri"/>
          <w:sz w:val="22"/>
          <w:szCs w:val="22"/>
        </w:rPr>
        <w:t>the corresponding evaluation methodology and KPIs. The discussion on traffic models needed for such applications is deferred to future meetings to benefit from guidance of the ongoing SA4 item.</w:t>
      </w:r>
    </w:p>
    <w:p w14:paraId="26C87E01" w14:textId="42837D14" w:rsidR="00EA65BB" w:rsidRDefault="001305A4" w:rsidP="001305A4">
      <w:pPr>
        <w:pStyle w:val="Heading1"/>
      </w:pPr>
      <w:r>
        <w:lastRenderedPageBreak/>
        <w:t xml:space="preserve">XR Applications </w:t>
      </w:r>
    </w:p>
    <w:p w14:paraId="2247D053" w14:textId="159D8958" w:rsidR="001305A4" w:rsidRPr="00774C25" w:rsidRDefault="006848E7" w:rsidP="00802A2F">
      <w:pPr>
        <w:ind w:firstLine="220"/>
        <w:rPr>
          <w:rFonts w:ascii="Calibri" w:hAnsi="Calibri" w:cs="Calibri"/>
          <w:sz w:val="22"/>
          <w:szCs w:val="22"/>
          <w:lang w:val="en-GB" w:eastAsia="en-US"/>
        </w:rPr>
      </w:pPr>
      <w:r w:rsidRPr="00774C25">
        <w:rPr>
          <w:rFonts w:ascii="Calibri" w:hAnsi="Calibri" w:cs="Calibri"/>
          <w:sz w:val="22"/>
          <w:szCs w:val="22"/>
          <w:lang w:val="en-GB" w:eastAsia="en-US"/>
        </w:rPr>
        <w:t xml:space="preserve">Extended reality applications </w:t>
      </w:r>
      <w:r w:rsidR="001A6BEF" w:rsidRPr="00774C25">
        <w:rPr>
          <w:rFonts w:ascii="Calibri" w:hAnsi="Calibri" w:cs="Calibri"/>
          <w:sz w:val="22"/>
          <w:szCs w:val="22"/>
          <w:lang w:val="en-GB" w:eastAsia="en-US"/>
        </w:rPr>
        <w:t xml:space="preserve">of interest </w:t>
      </w:r>
      <w:r w:rsidRPr="00774C25">
        <w:rPr>
          <w:rFonts w:ascii="Calibri" w:hAnsi="Calibri" w:cs="Calibri"/>
          <w:sz w:val="22"/>
          <w:szCs w:val="22"/>
          <w:lang w:val="en-GB" w:eastAsia="en-US"/>
        </w:rPr>
        <w:t xml:space="preserve">can be broadly divided into three application categories: enterprise applications, consumer applications and mission critical applications. </w:t>
      </w:r>
      <w:r w:rsidR="00802A2F" w:rsidRPr="00774C25">
        <w:rPr>
          <w:rFonts w:ascii="Calibri" w:hAnsi="Calibri" w:cs="Calibri"/>
          <w:sz w:val="22"/>
          <w:szCs w:val="22"/>
          <w:lang w:val="en-GB" w:eastAsia="en-US"/>
        </w:rPr>
        <w:t>These broad categories involve</w:t>
      </w:r>
      <w:r w:rsidR="001A6BEF" w:rsidRPr="00774C25">
        <w:rPr>
          <w:rFonts w:ascii="Calibri" w:hAnsi="Calibri" w:cs="Calibri"/>
          <w:sz w:val="22"/>
          <w:szCs w:val="22"/>
          <w:lang w:val="en-GB" w:eastAsia="en-US"/>
        </w:rPr>
        <w:t xml:space="preserve">, among others, </w:t>
      </w:r>
      <w:r w:rsidR="00802A2F" w:rsidRPr="00774C25">
        <w:rPr>
          <w:rFonts w:ascii="Calibri" w:hAnsi="Calibri" w:cs="Calibri"/>
          <w:sz w:val="22"/>
          <w:szCs w:val="22"/>
          <w:lang w:val="en-GB" w:eastAsia="en-US"/>
        </w:rPr>
        <w:t xml:space="preserve">all five rendering and media architecture applications </w:t>
      </w:r>
      <w:r w:rsidR="00C2195A" w:rsidRPr="00774C25">
        <w:rPr>
          <w:rFonts w:ascii="Calibri" w:hAnsi="Calibri" w:cs="Calibri"/>
          <w:sz w:val="22"/>
          <w:szCs w:val="22"/>
          <w:lang w:val="en-GB" w:eastAsia="en-US"/>
        </w:rPr>
        <w:t xml:space="preserve">detailed </w:t>
      </w:r>
      <w:r w:rsidR="00802A2F" w:rsidRPr="00774C25">
        <w:rPr>
          <w:rFonts w:ascii="Calibri" w:hAnsi="Calibri" w:cs="Calibri"/>
          <w:sz w:val="22"/>
          <w:szCs w:val="22"/>
          <w:lang w:val="en-GB" w:eastAsia="en-US"/>
        </w:rPr>
        <w:t>in TR26.928</w:t>
      </w:r>
      <w:r w:rsidR="00C2195A" w:rsidRPr="00774C25">
        <w:rPr>
          <w:rFonts w:ascii="Calibri" w:hAnsi="Calibri" w:cs="Calibri"/>
          <w:sz w:val="22"/>
          <w:szCs w:val="22"/>
          <w:lang w:val="en-GB" w:eastAsia="en-US"/>
        </w:rPr>
        <w:t xml:space="preserve"> and selected to be the focus of this SI.</w:t>
      </w:r>
    </w:p>
    <w:p w14:paraId="381560FC"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VR1: “Viewport dependent streaming”</w:t>
      </w:r>
    </w:p>
    <w:p w14:paraId="27366C01"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VR2: “Split Rendering: Viewport rendering with Time Warp in device”</w:t>
      </w:r>
    </w:p>
    <w:p w14:paraId="6DDA2EA3"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AR1: “XR Distributed Computing”</w:t>
      </w:r>
    </w:p>
    <w:p w14:paraId="663C1FF8"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AR2: “XR Conversational”</w:t>
      </w:r>
    </w:p>
    <w:p w14:paraId="2BA35792"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CG: Cloud Gaming</w:t>
      </w:r>
    </w:p>
    <w:p w14:paraId="22846FDE" w14:textId="77777777" w:rsidR="001A6BEF" w:rsidRPr="00774C25" w:rsidRDefault="001A6BEF" w:rsidP="00802A2F">
      <w:pPr>
        <w:ind w:firstLine="220"/>
        <w:rPr>
          <w:rFonts w:ascii="Calibri" w:hAnsi="Calibri" w:cs="Calibri"/>
          <w:sz w:val="22"/>
          <w:szCs w:val="22"/>
          <w:lang w:val="en-GB" w:eastAsia="en-US"/>
        </w:rPr>
      </w:pPr>
    </w:p>
    <w:p w14:paraId="443C7432" w14:textId="322A5E9C" w:rsidR="00802A2F" w:rsidRPr="00774C25" w:rsidRDefault="001A6BEF" w:rsidP="00802A2F">
      <w:pPr>
        <w:ind w:firstLine="220"/>
        <w:rPr>
          <w:rFonts w:ascii="Calibri" w:hAnsi="Calibri" w:cs="Calibri"/>
          <w:sz w:val="22"/>
          <w:szCs w:val="22"/>
          <w:lang w:val="en-GB" w:eastAsia="en-US"/>
        </w:rPr>
      </w:pPr>
      <w:r w:rsidRPr="00774C25">
        <w:rPr>
          <w:rFonts w:ascii="Calibri" w:hAnsi="Calibri" w:cs="Calibri"/>
          <w:sz w:val="22"/>
          <w:szCs w:val="22"/>
          <w:lang w:val="en-GB" w:eastAsia="en-US"/>
        </w:rPr>
        <w:t>Enterprise applications</w:t>
      </w:r>
      <w:r w:rsidR="00802A2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s</w:t>
      </w:r>
      <w:r w:rsidR="00802A2F" w:rsidRPr="00774C25">
        <w:rPr>
          <w:rFonts w:ascii="Calibri" w:hAnsi="Calibri" w:cs="Calibri"/>
          <w:sz w:val="22"/>
          <w:szCs w:val="22"/>
          <w:lang w:val="en-GB" w:eastAsia="en-US"/>
        </w:rPr>
        <w:t>uch as industrial automation</w:t>
      </w:r>
      <w:r w:rsidR="00864FAC"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factory management</w:t>
      </w:r>
      <w:r w:rsidR="00864FAC" w:rsidRPr="00774C25">
        <w:rPr>
          <w:rFonts w:ascii="Calibri" w:hAnsi="Calibri" w:cs="Calibri"/>
          <w:sz w:val="22"/>
          <w:szCs w:val="22"/>
          <w:lang w:val="en-GB" w:eastAsia="en-US"/>
        </w:rPr>
        <w:t xml:space="preserve"> and maintenance</w:t>
      </w:r>
      <w:r w:rsidRPr="00774C25">
        <w:rPr>
          <w:rFonts w:ascii="Calibri" w:hAnsi="Calibri" w:cs="Calibri"/>
          <w:sz w:val="22"/>
          <w:szCs w:val="22"/>
          <w:lang w:val="en-GB" w:eastAsia="en-US"/>
        </w:rPr>
        <w:t xml:space="preserve"> and</w:t>
      </w:r>
      <w:r w:rsidR="00864FAC" w:rsidRPr="00774C25">
        <w:rPr>
          <w:rFonts w:ascii="Calibri" w:hAnsi="Calibri" w:cs="Calibri"/>
          <w:sz w:val="22"/>
          <w:szCs w:val="22"/>
          <w:lang w:val="en-GB" w:eastAsia="en-US"/>
        </w:rPr>
        <w:t xml:space="preserve"> remote training</w:t>
      </w:r>
      <w:r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encompass</w:t>
      </w:r>
      <w:r w:rsidRPr="00774C25">
        <w:rPr>
          <w:rFonts w:ascii="Calibri" w:hAnsi="Calibri" w:cs="Calibri"/>
          <w:sz w:val="22"/>
          <w:szCs w:val="22"/>
          <w:lang w:val="en-GB" w:eastAsia="en-US"/>
        </w:rPr>
        <w:t xml:space="preserve"> XR use cases such as</w:t>
      </w:r>
      <w:r w:rsidR="00802A2F" w:rsidRPr="00774C25">
        <w:rPr>
          <w:rFonts w:ascii="Calibri" w:hAnsi="Calibri" w:cs="Calibri"/>
          <w:sz w:val="22"/>
          <w:szCs w:val="22"/>
          <w:lang w:val="en-GB" w:eastAsia="en-US"/>
        </w:rPr>
        <w:t xml:space="preserve"> XR multimedia streaming, XR conversational, XR cloud gaming, AR guided assistance at remote locations, AR animated avatar calls, shared spatial data, etc. </w:t>
      </w:r>
    </w:p>
    <w:p w14:paraId="79EBD8A0" w14:textId="25A90697" w:rsidR="00802A2F" w:rsidRPr="00774C25" w:rsidRDefault="001A6BEF" w:rsidP="00802A2F">
      <w:pPr>
        <w:ind w:firstLine="220"/>
        <w:rPr>
          <w:rFonts w:ascii="Calibri" w:hAnsi="Calibri" w:cs="Calibri"/>
          <w:sz w:val="22"/>
          <w:szCs w:val="22"/>
          <w:lang w:val="en-GB" w:eastAsia="en-US"/>
        </w:rPr>
      </w:pPr>
      <w:r w:rsidRPr="00774C25">
        <w:rPr>
          <w:rFonts w:ascii="Calibri" w:hAnsi="Calibri" w:cs="Calibri"/>
          <w:sz w:val="22"/>
          <w:szCs w:val="22"/>
          <w:lang w:val="en-GB" w:eastAsia="en-US"/>
        </w:rPr>
        <w:t>Similarly,</w:t>
      </w:r>
      <w:r w:rsidR="00802A2F" w:rsidRPr="00774C25">
        <w:rPr>
          <w:rFonts w:ascii="Calibri" w:hAnsi="Calibri" w:cs="Calibri"/>
          <w:sz w:val="22"/>
          <w:szCs w:val="22"/>
          <w:lang w:val="en-GB" w:eastAsia="en-US"/>
        </w:rPr>
        <w:t xml:space="preserve"> first responders can benefit from XR applications in mission critical situations, such as firefighters responding to a fire emergency using AR guided assistance and shared spatial data to locate shutoff valves or victims at burning buildings. Similarly, </w:t>
      </w:r>
      <w:r w:rsidR="00C2195A" w:rsidRPr="00774C25">
        <w:rPr>
          <w:rFonts w:ascii="Calibri" w:hAnsi="Calibri" w:cs="Calibri"/>
          <w:sz w:val="22"/>
          <w:szCs w:val="22"/>
          <w:lang w:val="en-GB" w:eastAsia="en-US"/>
        </w:rPr>
        <w:t>a police team member can benefit from XR conversational technology and viewport</w:t>
      </w:r>
      <w:r w:rsidRPr="00774C25">
        <w:rPr>
          <w:rFonts w:ascii="Calibri" w:hAnsi="Calibri" w:cs="Calibri"/>
          <w:sz w:val="22"/>
          <w:szCs w:val="22"/>
          <w:lang w:val="en-GB" w:eastAsia="en-US"/>
        </w:rPr>
        <w:t>-</w:t>
      </w:r>
      <w:r w:rsidR="00C2195A" w:rsidRPr="00774C25">
        <w:rPr>
          <w:rFonts w:ascii="Calibri" w:hAnsi="Calibri" w:cs="Calibri"/>
          <w:sz w:val="22"/>
          <w:szCs w:val="22"/>
          <w:lang w:val="en-GB" w:eastAsia="en-US"/>
        </w:rPr>
        <w:t xml:space="preserve">dependent streaming to locate and collaborate with other first responders. </w:t>
      </w:r>
      <w:r w:rsidR="00802A2F" w:rsidRPr="00774C25">
        <w:rPr>
          <w:rFonts w:ascii="Calibri" w:hAnsi="Calibri" w:cs="Calibri"/>
          <w:sz w:val="22"/>
          <w:szCs w:val="22"/>
          <w:lang w:val="en-GB" w:eastAsia="en-US"/>
        </w:rPr>
        <w:t xml:space="preserve"> </w:t>
      </w:r>
    </w:p>
    <w:p w14:paraId="60722A60" w14:textId="35F28962" w:rsidR="00795249" w:rsidRPr="00774C25" w:rsidRDefault="00C2195A" w:rsidP="00864FAC">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Among </w:t>
      </w:r>
      <w:r w:rsidR="00864FAC" w:rsidRPr="00774C25">
        <w:rPr>
          <w:rFonts w:ascii="Calibri" w:hAnsi="Calibri" w:cs="Calibri"/>
          <w:sz w:val="22"/>
          <w:szCs w:val="22"/>
          <w:lang w:val="en-GB" w:eastAsia="en-US"/>
        </w:rPr>
        <w:t xml:space="preserve">the XR consumer </w:t>
      </w:r>
      <w:r w:rsidR="001A6BEF" w:rsidRPr="00774C25">
        <w:rPr>
          <w:rFonts w:ascii="Calibri" w:hAnsi="Calibri" w:cs="Calibri"/>
          <w:sz w:val="22"/>
          <w:szCs w:val="22"/>
          <w:lang w:val="en-GB" w:eastAsia="en-US"/>
        </w:rPr>
        <w:t xml:space="preserve">applications such as shopping and retail experiences, immersive stadium experiences, AR animated avatar calls, use cases </w:t>
      </w:r>
      <w:r w:rsidR="00864FAC" w:rsidRPr="00774C25">
        <w:rPr>
          <w:rFonts w:ascii="Calibri" w:hAnsi="Calibri" w:cs="Calibri"/>
          <w:sz w:val="22"/>
          <w:szCs w:val="22"/>
          <w:lang w:val="en-GB" w:eastAsia="en-US"/>
        </w:rPr>
        <w:t xml:space="preserve">requiring XR multimedia streaming, spatial audio multiparty calls </w:t>
      </w:r>
      <w:r w:rsidR="00774C25" w:rsidRPr="00774C25">
        <w:rPr>
          <w:rFonts w:ascii="Calibri" w:hAnsi="Calibri" w:cs="Calibri"/>
          <w:sz w:val="22"/>
          <w:szCs w:val="22"/>
          <w:lang w:val="en-GB" w:eastAsia="en-US"/>
        </w:rPr>
        <w:t>Realtime</w:t>
      </w:r>
      <w:r w:rsidR="001A6BE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XR sharing, etc. are ubiquitous.</w:t>
      </w:r>
    </w:p>
    <w:p w14:paraId="4858E437" w14:textId="49479BCC" w:rsidR="001A6BEF" w:rsidRPr="00774C25" w:rsidRDefault="001A6BEF" w:rsidP="00864FAC">
      <w:pPr>
        <w:ind w:firstLineChars="0" w:firstLine="0"/>
        <w:rPr>
          <w:rFonts w:ascii="Calibri" w:hAnsi="Calibri" w:cs="Calibri"/>
          <w:sz w:val="22"/>
          <w:szCs w:val="22"/>
          <w:lang w:val="en-GB" w:eastAsia="en-US"/>
        </w:rPr>
      </w:pPr>
    </w:p>
    <w:p w14:paraId="1FBA4DCE" w14:textId="346CB79E" w:rsidR="001A6BEF" w:rsidRPr="00774C25" w:rsidRDefault="001A6BEF" w:rsidP="00864FAC">
      <w:pPr>
        <w:ind w:firstLineChars="0" w:firstLine="0"/>
        <w:rPr>
          <w:rFonts w:ascii="Calibri" w:hAnsi="Calibri" w:cs="Calibri"/>
          <w:b/>
          <w:bCs/>
          <w:sz w:val="22"/>
          <w:szCs w:val="22"/>
          <w:lang w:val="en-GB" w:eastAsia="en-US"/>
        </w:rPr>
      </w:pPr>
      <w:r w:rsidRPr="00774C25">
        <w:rPr>
          <w:rFonts w:ascii="Calibri" w:hAnsi="Calibri" w:cs="Calibri"/>
          <w:b/>
          <w:bCs/>
          <w:sz w:val="22"/>
          <w:szCs w:val="22"/>
          <w:lang w:val="en-GB" w:eastAsia="en-US"/>
        </w:rPr>
        <w:t xml:space="preserve">Proposal 1: Confirm the XR and cloud gaming applications in the </w:t>
      </w:r>
      <w:r w:rsidR="00076174" w:rsidRPr="00774C25">
        <w:rPr>
          <w:rFonts w:ascii="Calibri" w:hAnsi="Calibri" w:cs="Calibri"/>
          <w:b/>
          <w:bCs/>
          <w:sz w:val="22"/>
          <w:szCs w:val="22"/>
          <w:lang w:val="en-GB" w:eastAsia="en-US"/>
        </w:rPr>
        <w:t>S</w:t>
      </w:r>
      <w:r w:rsidRPr="00774C25">
        <w:rPr>
          <w:rFonts w:ascii="Calibri" w:hAnsi="Calibri" w:cs="Calibri"/>
          <w:b/>
          <w:bCs/>
          <w:sz w:val="22"/>
          <w:szCs w:val="22"/>
          <w:lang w:val="en-GB" w:eastAsia="en-US"/>
        </w:rPr>
        <w:t>I for XR evaluations</w:t>
      </w:r>
    </w:p>
    <w:p w14:paraId="0769C5EA" w14:textId="77777777" w:rsidR="001A6BEF" w:rsidRPr="00774C25" w:rsidRDefault="001A6BEF" w:rsidP="00864FAC">
      <w:pPr>
        <w:ind w:firstLineChars="0" w:firstLine="0"/>
        <w:rPr>
          <w:rFonts w:ascii="Calibri" w:hAnsi="Calibri" w:cs="Calibri"/>
          <w:sz w:val="22"/>
          <w:szCs w:val="22"/>
          <w:lang w:val="en-GB" w:eastAsia="en-US"/>
        </w:rPr>
      </w:pPr>
    </w:p>
    <w:p w14:paraId="239D3DEC" w14:textId="4E74A03D" w:rsidR="00060EB8" w:rsidRPr="00774C25" w:rsidRDefault="00864FAC" w:rsidP="00795249">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These XR applications, irrespective of the media architecture and the location of the rendering, rely on key enablers for 5G support</w:t>
      </w:r>
      <w:r w:rsidR="001A6BEF" w:rsidRPr="00774C25">
        <w:rPr>
          <w:rFonts w:ascii="Calibri" w:hAnsi="Calibri" w:cs="Calibri"/>
          <w:sz w:val="22"/>
          <w:szCs w:val="22"/>
          <w:lang w:val="en-GB" w:eastAsia="en-US"/>
        </w:rPr>
        <w:t>,</w:t>
      </w:r>
      <w:r w:rsidR="006F535F" w:rsidRPr="00774C25">
        <w:rPr>
          <w:rFonts w:ascii="Calibri" w:hAnsi="Calibri" w:cs="Calibri"/>
          <w:sz w:val="22"/>
          <w:szCs w:val="22"/>
          <w:lang w:val="en-GB" w:eastAsia="en-US"/>
        </w:rPr>
        <w:t xml:space="preserve"> as shown in Figure 1</w:t>
      </w:r>
      <w:r w:rsidRPr="00774C25">
        <w:rPr>
          <w:rFonts w:ascii="Calibri" w:hAnsi="Calibri" w:cs="Calibri"/>
          <w:sz w:val="22"/>
          <w:szCs w:val="22"/>
          <w:lang w:val="en-GB" w:eastAsia="en-US"/>
        </w:rPr>
        <w:t xml:space="preserve">. </w:t>
      </w:r>
    </w:p>
    <w:p w14:paraId="75356B28" w14:textId="77777777" w:rsidR="006F535F" w:rsidRPr="00774C25" w:rsidRDefault="006F535F" w:rsidP="006F535F">
      <w:pPr>
        <w:ind w:firstLineChars="0" w:firstLine="0"/>
        <w:jc w:val="center"/>
        <w:rPr>
          <w:rFonts w:ascii="Calibri" w:hAnsi="Calibri" w:cs="Calibri"/>
          <w:sz w:val="22"/>
          <w:szCs w:val="22"/>
          <w:lang w:val="en-GB" w:eastAsia="en-US"/>
        </w:rPr>
      </w:pPr>
      <w:r w:rsidRPr="00774C25">
        <w:rPr>
          <w:rFonts w:ascii="Calibri" w:hAnsi="Calibri" w:cs="Calibri"/>
          <w:noProof/>
          <w:sz w:val="22"/>
          <w:szCs w:val="22"/>
          <w:lang w:eastAsia="en-US"/>
        </w:rPr>
        <w:drawing>
          <wp:inline distT="0" distB="0" distL="0" distR="0" wp14:anchorId="0E546B64" wp14:editId="04781509">
            <wp:extent cx="3524111" cy="17850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46106" cy="1796155"/>
                    </a:xfrm>
                    <a:prstGeom prst="rect">
                      <a:avLst/>
                    </a:prstGeom>
                  </pic:spPr>
                </pic:pic>
              </a:graphicData>
            </a:graphic>
          </wp:inline>
        </w:drawing>
      </w:r>
    </w:p>
    <w:p w14:paraId="1D5CDB43" w14:textId="5A81C24C" w:rsidR="006F535F" w:rsidRPr="00774C25" w:rsidRDefault="006F535F" w:rsidP="006F535F">
      <w:pPr>
        <w:ind w:firstLineChars="0" w:firstLine="0"/>
        <w:jc w:val="center"/>
        <w:rPr>
          <w:rFonts w:ascii="Calibri" w:hAnsi="Calibri" w:cs="Calibri"/>
          <w:b/>
          <w:bCs/>
          <w:sz w:val="22"/>
          <w:szCs w:val="22"/>
          <w:lang w:val="en-GB" w:eastAsia="en-US"/>
        </w:rPr>
      </w:pPr>
      <w:r w:rsidRPr="00774C25">
        <w:rPr>
          <w:rFonts w:ascii="Calibri" w:hAnsi="Calibri" w:cs="Calibri"/>
          <w:b/>
          <w:bCs/>
          <w:sz w:val="22"/>
          <w:szCs w:val="22"/>
          <w:lang w:val="en-GB" w:eastAsia="en-US"/>
        </w:rPr>
        <w:t>Figure 1. 5G XR enablers</w:t>
      </w:r>
    </w:p>
    <w:p w14:paraId="3F07CC47" w14:textId="77777777" w:rsidR="006F535F" w:rsidRPr="00774C25" w:rsidRDefault="006F535F" w:rsidP="006F535F">
      <w:pPr>
        <w:ind w:firstLineChars="0" w:firstLine="0"/>
        <w:jc w:val="center"/>
        <w:rPr>
          <w:rFonts w:ascii="Calibri" w:hAnsi="Calibri" w:cs="Calibri"/>
          <w:b/>
          <w:bCs/>
          <w:sz w:val="22"/>
          <w:szCs w:val="22"/>
          <w:lang w:val="en-GB" w:eastAsia="en-US"/>
        </w:rPr>
      </w:pPr>
    </w:p>
    <w:p w14:paraId="2006B658" w14:textId="05B6EF23" w:rsidR="00795249" w:rsidRPr="00774C25" w:rsidRDefault="00795249" w:rsidP="00795249">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The first enabler is edge cloud computing and storage. Depending on the location of the rendering, the device and the network will need to exchange frequent updates to carry out the XR experience. </w:t>
      </w:r>
      <w:r w:rsidR="00FA6EE7" w:rsidRPr="00774C25">
        <w:rPr>
          <w:rFonts w:ascii="Calibri" w:hAnsi="Calibri" w:cs="Calibri"/>
          <w:sz w:val="22"/>
          <w:szCs w:val="22"/>
          <w:lang w:val="en-GB" w:eastAsia="en-US"/>
        </w:rPr>
        <w:t xml:space="preserve">This has an effect on the latency and the reliability of the DL and UL XR stream. </w:t>
      </w:r>
    </w:p>
    <w:p w14:paraId="4A5F8B76" w14:textId="1FB0E79E" w:rsidR="00C2195A" w:rsidRPr="00774C25" w:rsidRDefault="00795249" w:rsidP="00774C25">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lastRenderedPageBreak/>
        <w:t>Another main enabler</w:t>
      </w:r>
      <w:r w:rsidR="00864FAC" w:rsidRPr="00774C25">
        <w:rPr>
          <w:rFonts w:ascii="Calibri" w:hAnsi="Calibri" w:cs="Calibri"/>
          <w:sz w:val="22"/>
          <w:szCs w:val="22"/>
          <w:lang w:val="en-GB" w:eastAsia="en-US"/>
        </w:rPr>
        <w:t xml:space="preserve"> is spatial mapping and localization. Establishing the position of the users and objects within the space is crucial for the delivery of good AR experience in particular and XR in general. </w:t>
      </w:r>
      <w:r w:rsidR="00FA6EE7" w:rsidRPr="00774C25">
        <w:rPr>
          <w:rFonts w:ascii="Calibri" w:hAnsi="Calibri" w:cs="Calibri"/>
          <w:sz w:val="22"/>
          <w:szCs w:val="22"/>
          <w:lang w:val="en-GB" w:eastAsia="en-US"/>
        </w:rPr>
        <w:t xml:space="preserve">Depending on the use case, this position will be frequently shared by the user to the server, and this position update needs to be taken into account when defining KPIs and UL traffic models. Furthermore, NR </w:t>
      </w:r>
      <w:r w:rsidRPr="00774C25">
        <w:rPr>
          <w:rFonts w:ascii="Calibri" w:hAnsi="Calibri" w:cs="Calibri"/>
          <w:sz w:val="22"/>
          <w:szCs w:val="22"/>
          <w:lang w:val="en-GB" w:eastAsia="en-US"/>
        </w:rPr>
        <w:t>positioning evaluations</w:t>
      </w:r>
      <w:r w:rsidR="00FA6EE7" w:rsidRPr="00774C25">
        <w:rPr>
          <w:rFonts w:ascii="Calibri" w:hAnsi="Calibri" w:cs="Calibri"/>
          <w:sz w:val="22"/>
          <w:szCs w:val="22"/>
          <w:lang w:val="en-GB" w:eastAsia="en-US"/>
        </w:rPr>
        <w:t xml:space="preserve"> </w:t>
      </w:r>
      <w:r w:rsidRPr="00774C25">
        <w:rPr>
          <w:rFonts w:ascii="Calibri" w:hAnsi="Calibri" w:cs="Calibri"/>
          <w:sz w:val="22"/>
          <w:szCs w:val="22"/>
          <w:lang w:val="en-GB" w:eastAsia="en-US"/>
        </w:rPr>
        <w:t xml:space="preserve">and enhancements are important items to keep in mind when discussing the </w:t>
      </w:r>
      <w:r w:rsidR="00FA6EE7" w:rsidRPr="00774C25">
        <w:rPr>
          <w:rFonts w:ascii="Calibri" w:hAnsi="Calibri" w:cs="Calibri"/>
          <w:sz w:val="22"/>
          <w:szCs w:val="22"/>
          <w:lang w:val="en-GB" w:eastAsia="en-US"/>
        </w:rPr>
        <w:t xml:space="preserve">deployment </w:t>
      </w:r>
      <w:r w:rsidRPr="00774C25">
        <w:rPr>
          <w:rFonts w:ascii="Calibri" w:hAnsi="Calibri" w:cs="Calibri"/>
          <w:sz w:val="22"/>
          <w:szCs w:val="22"/>
          <w:lang w:val="en-GB" w:eastAsia="en-US"/>
        </w:rPr>
        <w:t>scenarios and requirements of the XR delivery</w:t>
      </w:r>
      <w:r w:rsidR="00D9047A" w:rsidRPr="00774C25">
        <w:rPr>
          <w:rFonts w:ascii="Calibri" w:hAnsi="Calibri" w:cs="Calibri"/>
          <w:sz w:val="22"/>
          <w:szCs w:val="22"/>
          <w:lang w:val="en-GB" w:eastAsia="en-US"/>
        </w:rPr>
        <w:t>; deployment scenarios identified in TR 38.855 [2] can be a good starting point for XR evaluations</w:t>
      </w:r>
    </w:p>
    <w:p w14:paraId="7C2E23C0" w14:textId="77777777" w:rsidR="00FA6EE7" w:rsidRDefault="00FA6EE7" w:rsidP="00795249">
      <w:pPr>
        <w:ind w:firstLineChars="0" w:firstLine="0"/>
        <w:rPr>
          <w:b/>
          <w:bCs/>
          <w:lang w:val="en-GB" w:eastAsia="en-US"/>
        </w:rPr>
      </w:pPr>
    </w:p>
    <w:p w14:paraId="5239B249" w14:textId="60B264E6" w:rsidR="00795249" w:rsidRPr="00774C25" w:rsidRDefault="00795249" w:rsidP="00795249">
      <w:pPr>
        <w:ind w:firstLineChars="0" w:firstLine="0"/>
        <w:rPr>
          <w:rFonts w:ascii="Calibri" w:hAnsi="Calibri" w:cs="Calibri"/>
          <w:b/>
          <w:bCs/>
          <w:sz w:val="22"/>
          <w:szCs w:val="22"/>
          <w:lang w:val="en-GB" w:eastAsia="en-US"/>
        </w:rPr>
      </w:pPr>
      <w:r w:rsidRPr="00774C25">
        <w:rPr>
          <w:rFonts w:ascii="Calibri" w:hAnsi="Calibri" w:cs="Calibri"/>
          <w:b/>
          <w:bCs/>
          <w:sz w:val="22"/>
          <w:szCs w:val="22"/>
          <w:lang w:val="en-GB" w:eastAsia="en-US"/>
        </w:rPr>
        <w:t xml:space="preserve">Proposal </w:t>
      </w:r>
      <w:r w:rsidR="001A6BEF" w:rsidRPr="00774C25">
        <w:rPr>
          <w:rFonts w:ascii="Calibri" w:hAnsi="Calibri" w:cs="Calibri"/>
          <w:b/>
          <w:bCs/>
          <w:sz w:val="22"/>
          <w:szCs w:val="22"/>
          <w:lang w:val="en-GB" w:eastAsia="en-US"/>
        </w:rPr>
        <w:t>2</w:t>
      </w:r>
      <w:r w:rsidRPr="00774C25">
        <w:rPr>
          <w:rFonts w:ascii="Calibri" w:hAnsi="Calibri" w:cs="Calibri"/>
          <w:b/>
          <w:bCs/>
          <w:sz w:val="22"/>
          <w:szCs w:val="22"/>
          <w:lang w:val="en-GB" w:eastAsia="en-US"/>
        </w:rPr>
        <w:t>: NR positioning evaluations and enhancements should be taken into account when discussing XR use cases requirements</w:t>
      </w:r>
    </w:p>
    <w:p w14:paraId="70241230" w14:textId="3B590AC5" w:rsidR="00990115" w:rsidRDefault="001305A4" w:rsidP="00990115">
      <w:pPr>
        <w:pStyle w:val="Heading1"/>
      </w:pPr>
      <w:r>
        <w:t>Deployment Scenarios and KPIs</w:t>
      </w:r>
    </w:p>
    <w:p w14:paraId="25BC2F73" w14:textId="36D5B6DA" w:rsidR="006F535F" w:rsidRPr="00774C25" w:rsidRDefault="00B02E97" w:rsidP="006F535F">
      <w:pPr>
        <w:ind w:firstLineChars="0" w:firstLine="0"/>
        <w:rPr>
          <w:rFonts w:ascii="Calibri" w:hAnsi="Calibri" w:cs="Calibri"/>
          <w:b/>
          <w:bCs/>
          <w:sz w:val="22"/>
          <w:szCs w:val="22"/>
          <w:lang w:val="en-GB" w:eastAsia="en-US"/>
        </w:rPr>
      </w:pPr>
      <w:r w:rsidRPr="00774C25">
        <w:rPr>
          <w:rFonts w:ascii="Calibri" w:hAnsi="Calibri" w:cs="Calibri"/>
          <w:sz w:val="22"/>
          <w:szCs w:val="22"/>
          <w:lang w:val="en-GB" w:eastAsia="en-US"/>
        </w:rPr>
        <w:t xml:space="preserve">As part of the RAN1 XR study, of equal importance to the definition of use cases and traffic characteristics are the deployment scenarios and metrics or KPIs used to evaluate system/user performance. </w:t>
      </w:r>
      <w:r w:rsidRPr="00774C25">
        <w:rPr>
          <w:rFonts w:ascii="Calibri" w:hAnsi="Calibri" w:cs="Calibri"/>
          <w:sz w:val="22"/>
          <w:szCs w:val="22"/>
          <w:lang w:val="en-GB" w:eastAsia="en-US"/>
        </w:rPr>
        <w:t xml:space="preserve">Broadly speaking, there are two main categories of deployment scenarios of interest: </w:t>
      </w:r>
      <w:r w:rsidRPr="00774C25">
        <w:rPr>
          <w:rFonts w:ascii="Calibri" w:hAnsi="Calibri" w:cs="Calibri"/>
          <w:b/>
          <w:bCs/>
          <w:sz w:val="22"/>
          <w:szCs w:val="22"/>
          <w:lang w:val="en-GB" w:eastAsia="en-US"/>
        </w:rPr>
        <w:t>outdoor and indoor deployment scenarios.</w:t>
      </w:r>
    </w:p>
    <w:p w14:paraId="1B8C6407" w14:textId="02026B6C" w:rsidR="00B02E97" w:rsidRPr="00774C25" w:rsidRDefault="00B02E97" w:rsidP="006F535F">
      <w:pPr>
        <w:ind w:firstLineChars="0" w:firstLine="0"/>
        <w:rPr>
          <w:rFonts w:ascii="Calibri" w:hAnsi="Calibri" w:cs="Calibri"/>
          <w:b/>
          <w:bCs/>
          <w:sz w:val="22"/>
          <w:szCs w:val="22"/>
          <w:lang w:val="en-GB" w:eastAsia="en-US"/>
        </w:rPr>
      </w:pPr>
    </w:p>
    <w:p w14:paraId="31DFC994" w14:textId="497EF73B" w:rsidR="00B02E97" w:rsidRPr="00774C25" w:rsidRDefault="00B02E97" w:rsidP="00B02E97">
      <w:pPr>
        <w:ind w:firstLineChars="0" w:firstLine="0"/>
        <w:rPr>
          <w:rFonts w:ascii="Calibri" w:hAnsi="Calibri" w:cs="Calibri"/>
          <w:sz w:val="22"/>
          <w:szCs w:val="22"/>
          <w:lang w:eastAsia="en-US"/>
        </w:rPr>
      </w:pPr>
      <w:r w:rsidRPr="00774C25">
        <w:rPr>
          <w:rFonts w:ascii="Calibri" w:hAnsi="Calibri" w:cs="Calibri"/>
          <w:sz w:val="22"/>
          <w:szCs w:val="22"/>
          <w:lang w:eastAsia="en-US"/>
        </w:rPr>
        <w:t>It is important that wide area cellular networks can support XR use cases and this may include a range of environments including dense urban, suburban, transit/shopping centers, and parks/open spaces as well as a mix of wearable and standalone devices. As a result, there should be an outdoor deployment scenario included in the evaluations and the dense urban micro (</w:t>
      </w:r>
      <w:proofErr w:type="spellStart"/>
      <w:r w:rsidRPr="00774C25">
        <w:rPr>
          <w:rFonts w:ascii="Calibri" w:hAnsi="Calibri" w:cs="Calibri"/>
          <w:sz w:val="22"/>
          <w:szCs w:val="22"/>
          <w:lang w:eastAsia="en-US"/>
        </w:rPr>
        <w:t>UMi</w:t>
      </w:r>
      <w:proofErr w:type="spellEnd"/>
      <w:r w:rsidRPr="00774C25">
        <w:rPr>
          <w:rFonts w:ascii="Calibri" w:hAnsi="Calibri" w:cs="Calibri"/>
          <w:sz w:val="22"/>
          <w:szCs w:val="22"/>
          <w:lang w:eastAsia="en-US"/>
        </w:rPr>
        <w:t xml:space="preserve">) </w:t>
      </w:r>
      <w:r w:rsidR="00076174" w:rsidRPr="00774C25">
        <w:rPr>
          <w:rFonts w:ascii="Calibri" w:hAnsi="Calibri" w:cs="Calibri"/>
          <w:sz w:val="22"/>
          <w:szCs w:val="22"/>
          <w:lang w:eastAsia="en-US"/>
        </w:rPr>
        <w:t xml:space="preserve">for FR2 and </w:t>
      </w:r>
      <w:proofErr w:type="spellStart"/>
      <w:r w:rsidR="00076174" w:rsidRPr="00774C25">
        <w:rPr>
          <w:rFonts w:ascii="Calibri" w:hAnsi="Calibri" w:cs="Calibri"/>
          <w:sz w:val="22"/>
          <w:szCs w:val="22"/>
          <w:lang w:eastAsia="en-US"/>
        </w:rPr>
        <w:t>UMa</w:t>
      </w:r>
      <w:proofErr w:type="spellEnd"/>
      <w:r w:rsidR="00076174" w:rsidRPr="00774C25">
        <w:rPr>
          <w:rFonts w:ascii="Calibri" w:hAnsi="Calibri" w:cs="Calibri"/>
          <w:sz w:val="22"/>
          <w:szCs w:val="22"/>
          <w:lang w:eastAsia="en-US"/>
        </w:rPr>
        <w:t xml:space="preserve"> for FR1 </w:t>
      </w:r>
      <w:r w:rsidRPr="00774C25">
        <w:rPr>
          <w:rFonts w:ascii="Calibri" w:hAnsi="Calibri" w:cs="Calibri"/>
          <w:sz w:val="22"/>
          <w:szCs w:val="22"/>
          <w:lang w:eastAsia="en-US"/>
        </w:rPr>
        <w:t>may be good candidate</w:t>
      </w:r>
      <w:r w:rsidR="00076174" w:rsidRPr="00774C25">
        <w:rPr>
          <w:rFonts w:ascii="Calibri" w:hAnsi="Calibri" w:cs="Calibri"/>
          <w:sz w:val="22"/>
          <w:szCs w:val="22"/>
          <w:lang w:eastAsia="en-US"/>
        </w:rPr>
        <w:t>s</w:t>
      </w:r>
      <w:r w:rsidRPr="00774C25">
        <w:rPr>
          <w:rFonts w:ascii="Calibri" w:hAnsi="Calibri" w:cs="Calibri"/>
          <w:sz w:val="22"/>
          <w:szCs w:val="22"/>
          <w:lang w:eastAsia="en-US"/>
        </w:rPr>
        <w:t xml:space="preserve"> which can map to practical deployment environments. In addition, multi-connectivity between FR1 and FR2 is expected to be supported for devices which support XR services since it provides service continuity and robustness inside and outside high capacity hotspots</w:t>
      </w:r>
      <w:r w:rsidR="00076174" w:rsidRPr="00774C25">
        <w:rPr>
          <w:rFonts w:ascii="Calibri" w:hAnsi="Calibri" w:cs="Calibri"/>
          <w:sz w:val="22"/>
          <w:szCs w:val="22"/>
          <w:lang w:eastAsia="en-US"/>
        </w:rPr>
        <w:t xml:space="preserve"> so evaluations for different frequency bands should not be done in total isolation</w:t>
      </w:r>
      <w:r w:rsidRPr="00774C25">
        <w:rPr>
          <w:rFonts w:ascii="Calibri" w:hAnsi="Calibri" w:cs="Calibri"/>
          <w:sz w:val="22"/>
          <w:szCs w:val="22"/>
          <w:lang w:eastAsia="en-US"/>
        </w:rPr>
        <w:t xml:space="preserve">. </w:t>
      </w:r>
    </w:p>
    <w:p w14:paraId="11E0D22B" w14:textId="76776B95" w:rsidR="00B02E97" w:rsidRPr="00774C25" w:rsidRDefault="00B02E97" w:rsidP="00B02E97">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sidR="00FA6EE7" w:rsidRPr="00774C25">
        <w:rPr>
          <w:rFonts w:ascii="Calibri" w:hAnsi="Calibri" w:cs="Calibri"/>
          <w:b/>
          <w:bCs/>
          <w:sz w:val="22"/>
          <w:szCs w:val="22"/>
          <w:lang w:eastAsia="en-US"/>
        </w:rPr>
        <w:t>3</w:t>
      </w:r>
      <w:r w:rsidRPr="00774C25">
        <w:rPr>
          <w:rFonts w:ascii="Calibri" w:hAnsi="Calibri" w:cs="Calibri"/>
          <w:b/>
          <w:bCs/>
          <w:sz w:val="22"/>
          <w:szCs w:val="22"/>
          <w:lang w:eastAsia="en-US"/>
        </w:rPr>
        <w:t xml:space="preserve">: </w:t>
      </w:r>
      <w:r w:rsidR="00076174" w:rsidRPr="00774C25">
        <w:rPr>
          <w:rFonts w:ascii="Calibri" w:hAnsi="Calibri" w:cs="Calibri"/>
          <w:b/>
          <w:bCs/>
          <w:sz w:val="22"/>
          <w:szCs w:val="22"/>
          <w:lang w:eastAsia="en-US"/>
        </w:rPr>
        <w:t>O</w:t>
      </w:r>
      <w:r w:rsidRPr="00774C25">
        <w:rPr>
          <w:rFonts w:ascii="Calibri" w:hAnsi="Calibri" w:cs="Calibri"/>
          <w:b/>
          <w:bCs/>
          <w:sz w:val="22"/>
          <w:szCs w:val="22"/>
          <w:lang w:eastAsia="en-US"/>
        </w:rPr>
        <w:t>utdoor deployment scenario</w:t>
      </w:r>
      <w:r w:rsidR="00076174" w:rsidRPr="00774C25">
        <w:rPr>
          <w:rFonts w:ascii="Calibri" w:hAnsi="Calibri" w:cs="Calibri"/>
          <w:b/>
          <w:bCs/>
          <w:sz w:val="22"/>
          <w:szCs w:val="22"/>
          <w:lang w:eastAsia="en-US"/>
        </w:rPr>
        <w:t>s</w:t>
      </w:r>
      <w:r w:rsidRPr="00774C25">
        <w:rPr>
          <w:rFonts w:ascii="Calibri" w:hAnsi="Calibri" w:cs="Calibri"/>
          <w:b/>
          <w:bCs/>
          <w:sz w:val="22"/>
          <w:szCs w:val="22"/>
          <w:lang w:eastAsia="en-US"/>
        </w:rPr>
        <w:t xml:space="preserve"> </w:t>
      </w:r>
      <w:r w:rsidR="00076174" w:rsidRPr="00774C25">
        <w:rPr>
          <w:rFonts w:ascii="Calibri" w:hAnsi="Calibri" w:cs="Calibri"/>
          <w:b/>
          <w:bCs/>
          <w:sz w:val="22"/>
          <w:szCs w:val="22"/>
          <w:lang w:eastAsia="en-US"/>
        </w:rPr>
        <w:t>are</w:t>
      </w:r>
      <w:r w:rsidRPr="00774C25">
        <w:rPr>
          <w:rFonts w:ascii="Calibri" w:hAnsi="Calibri" w:cs="Calibri"/>
          <w:b/>
          <w:bCs/>
          <w:sz w:val="22"/>
          <w:szCs w:val="22"/>
          <w:lang w:eastAsia="en-US"/>
        </w:rPr>
        <w:t xml:space="preserve"> included for XR evaluations. At least a dense urban </w:t>
      </w:r>
      <w:proofErr w:type="spellStart"/>
      <w:r w:rsidRPr="00774C25">
        <w:rPr>
          <w:rFonts w:ascii="Calibri" w:hAnsi="Calibri" w:cs="Calibri"/>
          <w:b/>
          <w:bCs/>
          <w:sz w:val="22"/>
          <w:szCs w:val="22"/>
          <w:lang w:eastAsia="en-US"/>
        </w:rPr>
        <w:t>UMi</w:t>
      </w:r>
      <w:proofErr w:type="spellEnd"/>
      <w:r w:rsidRPr="00774C25">
        <w:rPr>
          <w:rFonts w:ascii="Calibri" w:hAnsi="Calibri" w:cs="Calibri"/>
          <w:b/>
          <w:bCs/>
          <w:sz w:val="22"/>
          <w:szCs w:val="22"/>
          <w:lang w:eastAsia="en-US"/>
        </w:rPr>
        <w:t xml:space="preserve"> scenario with 100% outdoor users for FR2 </w:t>
      </w:r>
      <w:r w:rsidR="00076174" w:rsidRPr="00774C25">
        <w:rPr>
          <w:rFonts w:ascii="Calibri" w:hAnsi="Calibri" w:cs="Calibri"/>
          <w:b/>
          <w:bCs/>
          <w:sz w:val="22"/>
          <w:szCs w:val="22"/>
          <w:lang w:eastAsia="en-US"/>
        </w:rPr>
        <w:t xml:space="preserve">and a </w:t>
      </w:r>
      <w:proofErr w:type="spellStart"/>
      <w:r w:rsidR="00076174" w:rsidRPr="00774C25">
        <w:rPr>
          <w:rFonts w:ascii="Calibri" w:hAnsi="Calibri" w:cs="Calibri"/>
          <w:b/>
          <w:bCs/>
          <w:sz w:val="22"/>
          <w:szCs w:val="22"/>
          <w:lang w:eastAsia="en-US"/>
        </w:rPr>
        <w:t>UMa</w:t>
      </w:r>
      <w:proofErr w:type="spellEnd"/>
      <w:r w:rsidR="00076174" w:rsidRPr="00774C25">
        <w:rPr>
          <w:rFonts w:ascii="Calibri" w:hAnsi="Calibri" w:cs="Calibri"/>
          <w:b/>
          <w:bCs/>
          <w:sz w:val="22"/>
          <w:szCs w:val="22"/>
          <w:lang w:eastAsia="en-US"/>
        </w:rPr>
        <w:t xml:space="preserve"> scenario with both indoor and outdoor users for FR1 </w:t>
      </w:r>
      <w:r w:rsidRPr="00774C25">
        <w:rPr>
          <w:rFonts w:ascii="Calibri" w:hAnsi="Calibri" w:cs="Calibri"/>
          <w:b/>
          <w:bCs/>
          <w:sz w:val="22"/>
          <w:szCs w:val="22"/>
          <w:lang w:eastAsia="en-US"/>
        </w:rPr>
        <w:t>should be considered.</w:t>
      </w:r>
    </w:p>
    <w:p w14:paraId="00E7906E" w14:textId="7A807741" w:rsidR="00B02E97" w:rsidRPr="00774C25" w:rsidRDefault="00F5121F" w:rsidP="00B02E97">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For some use cases, indoor environments are more suitable and have different </w:t>
      </w:r>
      <w:r w:rsidR="001B3CC2" w:rsidRPr="00774C25">
        <w:rPr>
          <w:rFonts w:ascii="Calibri" w:hAnsi="Calibri" w:cs="Calibri"/>
          <w:sz w:val="22"/>
          <w:szCs w:val="22"/>
          <w:lang w:val="en-GB" w:eastAsia="en-US"/>
        </w:rPr>
        <w:t>characteristics in terms of user density and network deployment compared to outdoor environments. The indoor deployments should try to cover a range of scenarios including factories, enterprise campuses, venues, and residences. In common with the outdoor deployment, multi</w:t>
      </w:r>
      <w:r w:rsidR="00B02E97" w:rsidRPr="00774C25">
        <w:rPr>
          <w:rFonts w:ascii="Calibri" w:hAnsi="Calibri" w:cs="Calibri"/>
          <w:sz w:val="22"/>
          <w:szCs w:val="22"/>
          <w:lang w:val="en-GB" w:eastAsia="en-US"/>
        </w:rPr>
        <w:t>-connectivity leveraging wide-area and hotspot RAN access points</w:t>
      </w:r>
      <w:r w:rsidR="001B3CC2" w:rsidRPr="00774C25">
        <w:rPr>
          <w:rFonts w:ascii="Calibri" w:hAnsi="Calibri" w:cs="Calibri"/>
          <w:sz w:val="22"/>
          <w:szCs w:val="22"/>
          <w:lang w:val="en-GB" w:eastAsia="en-US"/>
        </w:rPr>
        <w:t xml:space="preserve"> across FR1 and FR2 should be considered.</w:t>
      </w:r>
    </w:p>
    <w:p w14:paraId="01216AD9" w14:textId="6E648821" w:rsidR="001B3CC2" w:rsidRDefault="001B3CC2" w:rsidP="001B3CC2">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sidR="00D9047A" w:rsidRPr="00774C25">
        <w:rPr>
          <w:rFonts w:ascii="Calibri" w:hAnsi="Calibri" w:cs="Calibri"/>
          <w:b/>
          <w:bCs/>
          <w:sz w:val="22"/>
          <w:szCs w:val="22"/>
          <w:lang w:eastAsia="en-US"/>
        </w:rPr>
        <w:t>4</w:t>
      </w:r>
      <w:r w:rsidRPr="00774C25">
        <w:rPr>
          <w:rFonts w:ascii="Calibri" w:hAnsi="Calibri" w:cs="Calibri"/>
          <w:b/>
          <w:bCs/>
          <w:sz w:val="22"/>
          <w:szCs w:val="22"/>
          <w:lang w:eastAsia="en-US"/>
        </w:rPr>
        <w:t xml:space="preserve">: An indoor deployment scenario is included for XR evaluations. At least </w:t>
      </w:r>
      <w:r w:rsidR="00076174" w:rsidRPr="00774C25">
        <w:rPr>
          <w:rFonts w:ascii="Calibri" w:hAnsi="Calibri" w:cs="Calibri"/>
          <w:b/>
          <w:bCs/>
          <w:sz w:val="22"/>
          <w:szCs w:val="22"/>
          <w:lang w:eastAsia="en-US"/>
        </w:rPr>
        <w:t xml:space="preserve">the </w:t>
      </w:r>
      <w:r w:rsidRPr="00774C25">
        <w:rPr>
          <w:rFonts w:ascii="Calibri" w:hAnsi="Calibri" w:cs="Calibri"/>
          <w:b/>
          <w:bCs/>
          <w:sz w:val="22"/>
          <w:szCs w:val="22"/>
          <w:lang w:eastAsia="en-US"/>
        </w:rPr>
        <w:t xml:space="preserve">clustered/hotspot user dropping </w:t>
      </w:r>
      <w:r w:rsidR="00076174" w:rsidRPr="00774C25">
        <w:rPr>
          <w:rFonts w:ascii="Calibri" w:hAnsi="Calibri" w:cs="Calibri"/>
          <w:b/>
          <w:bCs/>
          <w:sz w:val="22"/>
          <w:szCs w:val="22"/>
          <w:lang w:eastAsia="en-US"/>
        </w:rPr>
        <w:t xml:space="preserve">within the </w:t>
      </w:r>
      <w:proofErr w:type="spellStart"/>
      <w:r w:rsidR="00076174" w:rsidRPr="00774C25">
        <w:rPr>
          <w:rFonts w:ascii="Calibri" w:hAnsi="Calibri" w:cs="Calibri"/>
          <w:b/>
          <w:bCs/>
          <w:sz w:val="22"/>
          <w:szCs w:val="22"/>
          <w:lang w:eastAsia="en-US"/>
        </w:rPr>
        <w:t>InH</w:t>
      </w:r>
      <w:proofErr w:type="spellEnd"/>
      <w:r w:rsidR="00076174" w:rsidRPr="00774C25">
        <w:rPr>
          <w:rFonts w:ascii="Calibri" w:hAnsi="Calibri" w:cs="Calibri"/>
          <w:b/>
          <w:bCs/>
          <w:sz w:val="22"/>
          <w:szCs w:val="22"/>
          <w:lang w:eastAsia="en-US"/>
        </w:rPr>
        <w:t xml:space="preserve"> scenario for</w:t>
      </w:r>
      <w:r w:rsidRPr="00774C25">
        <w:rPr>
          <w:rFonts w:ascii="Calibri" w:hAnsi="Calibri" w:cs="Calibri"/>
          <w:b/>
          <w:bCs/>
          <w:sz w:val="22"/>
          <w:szCs w:val="22"/>
          <w:lang w:eastAsia="en-US"/>
        </w:rPr>
        <w:t xml:space="preserve"> both FR1 and FR2 should be considered.</w:t>
      </w:r>
    </w:p>
    <w:p w14:paraId="21C750E7" w14:textId="77777777" w:rsidR="00F01E70" w:rsidRPr="00F01E70" w:rsidRDefault="00F01E70" w:rsidP="001B3CC2">
      <w:pPr>
        <w:ind w:firstLineChars="0" w:firstLine="0"/>
        <w:rPr>
          <w:rFonts w:ascii="Calibri" w:hAnsi="Calibri" w:cs="Calibri"/>
          <w:b/>
          <w:bCs/>
          <w:sz w:val="22"/>
          <w:szCs w:val="22"/>
          <w:lang w:eastAsia="en-US"/>
        </w:rPr>
      </w:pPr>
    </w:p>
    <w:p w14:paraId="55937787" w14:textId="176727DD" w:rsidR="001B3CC2" w:rsidRPr="00774C25" w:rsidRDefault="00BE0B48" w:rsidP="001B3CC2">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As part </w:t>
      </w:r>
      <w:proofErr w:type="gramStart"/>
      <w:r w:rsidRPr="00774C25">
        <w:rPr>
          <w:rFonts w:ascii="Calibri" w:hAnsi="Calibri" w:cs="Calibri"/>
          <w:sz w:val="22"/>
          <w:szCs w:val="22"/>
          <w:lang w:val="en-GB" w:eastAsia="en-US"/>
        </w:rPr>
        <w:t xml:space="preserve">of </w:t>
      </w:r>
      <w:r w:rsidR="001B3CC2" w:rsidRPr="00774C25">
        <w:rPr>
          <w:rFonts w:ascii="Calibri" w:hAnsi="Calibri" w:cs="Calibri"/>
          <w:sz w:val="22"/>
          <w:szCs w:val="22"/>
          <w:lang w:val="en-GB" w:eastAsia="en-US"/>
        </w:rPr>
        <w:t xml:space="preserve"> the</w:t>
      </w:r>
      <w:proofErr w:type="gramEnd"/>
      <w:r w:rsidR="001B3CC2" w:rsidRPr="00774C25">
        <w:rPr>
          <w:rFonts w:ascii="Calibri" w:hAnsi="Calibri" w:cs="Calibri"/>
          <w:sz w:val="22"/>
          <w:szCs w:val="22"/>
          <w:lang w:val="en-GB" w:eastAsia="en-US"/>
        </w:rPr>
        <w:t xml:space="preserve"> KPIs considered in the study, </w:t>
      </w:r>
      <w:r w:rsidRPr="00774C25">
        <w:rPr>
          <w:rFonts w:ascii="Calibri" w:hAnsi="Calibri" w:cs="Calibri"/>
          <w:sz w:val="22"/>
          <w:szCs w:val="22"/>
          <w:lang w:val="en-GB" w:eastAsia="en-US"/>
        </w:rPr>
        <w:t>it should be straightforward to include basic QoS-aware metrics such as latency and reliability. Tracking the percentage of packets within DL and UL packet delay budgets (PDB) should be included as well as the packet error rate (PER) which may be use-case or traffic model dependent. In addition, at least for outdoor scenarios, coverage and service continuity should also be captured in the KPIs. For coverage this could include the percentage of users experiencing data rates within a range (e.g. 100Mbps-</w:t>
      </w:r>
      <w:r w:rsidRPr="00774C25">
        <w:rPr>
          <w:rFonts w:ascii="Calibri" w:hAnsi="Calibri" w:cs="Calibri"/>
          <w:sz w:val="22"/>
          <w:szCs w:val="22"/>
          <w:lang w:val="en-GB" w:eastAsia="en-US"/>
        </w:rPr>
        <w:lastRenderedPageBreak/>
        <w:t>1Gbps depending on the traffic model) and SINR distribution of users which may be a proxy for impact on the ability to provide sufficient coverage/mobility for XR services.</w:t>
      </w:r>
    </w:p>
    <w:p w14:paraId="677863B3" w14:textId="15A4E795" w:rsidR="00BE0B48" w:rsidRPr="00774C25" w:rsidRDefault="00BE0B48" w:rsidP="00BE0B48">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sidR="00D9047A" w:rsidRPr="00774C25">
        <w:rPr>
          <w:rFonts w:ascii="Calibri" w:hAnsi="Calibri" w:cs="Calibri"/>
          <w:b/>
          <w:bCs/>
          <w:sz w:val="22"/>
          <w:szCs w:val="22"/>
          <w:lang w:eastAsia="en-US"/>
        </w:rPr>
        <w:t>5</w:t>
      </w:r>
      <w:r w:rsidRPr="00774C25">
        <w:rPr>
          <w:rFonts w:ascii="Calibri" w:hAnsi="Calibri" w:cs="Calibri"/>
          <w:b/>
          <w:bCs/>
          <w:sz w:val="22"/>
          <w:szCs w:val="22"/>
          <w:lang w:eastAsia="en-US"/>
        </w:rPr>
        <w:t>: The following KPIs should be considered as part of the study:</w:t>
      </w:r>
    </w:p>
    <w:p w14:paraId="22D990AB" w14:textId="44371E78" w:rsidR="00BE0B48" w:rsidRPr="00774C25" w:rsidRDefault="00B14F50" w:rsidP="00BE0B48">
      <w:pPr>
        <w:pStyle w:val="ListParagraph"/>
        <w:numPr>
          <w:ilvl w:val="0"/>
          <w:numId w:val="25"/>
        </w:numPr>
        <w:ind w:firstLineChars="0"/>
        <w:rPr>
          <w:rFonts w:eastAsia="Batang" w:cs="Calibri"/>
          <w:b/>
          <w:bCs/>
          <w:lang w:eastAsia="en-US"/>
        </w:rPr>
      </w:pPr>
      <w:r w:rsidRPr="00774C25">
        <w:rPr>
          <w:rFonts w:eastAsia="Batang" w:cs="Calibri"/>
          <w:b/>
          <w:bCs/>
          <w:lang w:eastAsia="en-US"/>
        </w:rPr>
        <w:t xml:space="preserve">Percentage </w:t>
      </w:r>
      <w:r w:rsidR="00BE0B48" w:rsidRPr="00774C25">
        <w:rPr>
          <w:rFonts w:eastAsia="Batang" w:cs="Calibri"/>
          <w:b/>
          <w:bCs/>
          <w:lang w:eastAsia="en-US"/>
        </w:rPr>
        <w:t>of packets with</w:t>
      </w:r>
      <w:r w:rsidRPr="00774C25">
        <w:rPr>
          <w:rFonts w:eastAsia="Batang" w:cs="Calibri"/>
          <w:b/>
          <w:bCs/>
          <w:lang w:eastAsia="en-US"/>
        </w:rPr>
        <w:t>in</w:t>
      </w:r>
      <w:r w:rsidR="00BE0B48" w:rsidRPr="00774C25">
        <w:rPr>
          <w:rFonts w:eastAsia="Batang" w:cs="Calibri"/>
          <w:b/>
          <w:bCs/>
          <w:lang w:eastAsia="en-US"/>
        </w:rPr>
        <w:t xml:space="preserve"> a DL/UL packet delay budget</w:t>
      </w:r>
    </w:p>
    <w:p w14:paraId="69977198" w14:textId="18124179" w:rsidR="00BE0B48" w:rsidRPr="00774C25" w:rsidRDefault="00BE0B48" w:rsidP="00BE0B48">
      <w:pPr>
        <w:pStyle w:val="ListParagraph"/>
        <w:numPr>
          <w:ilvl w:val="0"/>
          <w:numId w:val="25"/>
        </w:numPr>
        <w:ind w:firstLineChars="0"/>
        <w:rPr>
          <w:rFonts w:eastAsia="Batang" w:cs="Calibri"/>
          <w:b/>
          <w:bCs/>
          <w:lang w:eastAsia="en-US"/>
        </w:rPr>
      </w:pPr>
      <w:r w:rsidRPr="00774C25">
        <w:rPr>
          <w:rFonts w:eastAsia="Batang" w:cs="Calibri"/>
          <w:b/>
          <w:bCs/>
          <w:lang w:eastAsia="en-US"/>
        </w:rPr>
        <w:t>Packet error rate</w:t>
      </w:r>
    </w:p>
    <w:p w14:paraId="0F66858B" w14:textId="19234DC6" w:rsidR="00BE0B48" w:rsidRPr="00774C25" w:rsidRDefault="00B14F50" w:rsidP="00BE0B48">
      <w:pPr>
        <w:pStyle w:val="ListParagraph"/>
        <w:numPr>
          <w:ilvl w:val="0"/>
          <w:numId w:val="25"/>
        </w:numPr>
        <w:ind w:firstLineChars="0"/>
        <w:rPr>
          <w:rFonts w:eastAsia="Batang" w:cs="Calibri"/>
          <w:b/>
          <w:bCs/>
          <w:lang w:eastAsia="en-US"/>
        </w:rPr>
      </w:pPr>
      <w:r w:rsidRPr="00774C25">
        <w:rPr>
          <w:rFonts w:eastAsia="Batang" w:cs="Calibri"/>
          <w:b/>
          <w:bCs/>
          <w:lang w:eastAsia="en-US"/>
        </w:rPr>
        <w:t>User perceived throughput distribution</w:t>
      </w:r>
    </w:p>
    <w:p w14:paraId="7A6B52EF" w14:textId="42193549" w:rsidR="00B14F50" w:rsidRPr="00774C25" w:rsidRDefault="00B14F50" w:rsidP="00774C25">
      <w:pPr>
        <w:pStyle w:val="ListParagraph"/>
        <w:numPr>
          <w:ilvl w:val="0"/>
          <w:numId w:val="25"/>
        </w:numPr>
        <w:ind w:firstLineChars="0"/>
        <w:rPr>
          <w:rFonts w:cs="Calibri"/>
          <w:b/>
          <w:bCs/>
          <w:lang w:eastAsia="en-US"/>
        </w:rPr>
      </w:pPr>
      <w:r w:rsidRPr="00774C25">
        <w:rPr>
          <w:rFonts w:eastAsia="Batang" w:cs="Calibri"/>
          <w:b/>
          <w:bCs/>
          <w:lang w:eastAsia="en-US"/>
        </w:rPr>
        <w:t>User SINR distribution</w:t>
      </w:r>
    </w:p>
    <w:p w14:paraId="399F276E" w14:textId="77777777" w:rsidR="006F535F" w:rsidRPr="006F535F" w:rsidRDefault="006F535F" w:rsidP="00774C25">
      <w:pPr>
        <w:ind w:firstLineChars="0" w:firstLine="0"/>
        <w:rPr>
          <w:lang w:val="en-GB" w:eastAsia="en-U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5076D45" w14:textId="6C7F21A4" w:rsidR="00D9047A" w:rsidRPr="00774C25"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1305A4" w:rsidRPr="00774C25">
        <w:rPr>
          <w:rFonts w:ascii="Calibri" w:hAnsi="Calibri" w:cs="Calibri"/>
          <w:sz w:val="22"/>
          <w:szCs w:val="22"/>
        </w:rPr>
        <w:t>discussed the XR applications of interest and the corresponding deployment scenarios and KPIs.</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14F50" w:rsidRPr="00774C25">
        <w:rPr>
          <w:rFonts w:ascii="Calibri" w:hAnsi="Calibri" w:cs="Calibri"/>
          <w:sz w:val="22"/>
          <w:szCs w:val="22"/>
        </w:rPr>
        <w:t>proposals</w:t>
      </w:r>
      <w:r w:rsidR="00774C25">
        <w:rPr>
          <w:rFonts w:ascii="Calibri" w:hAnsi="Calibri" w:cs="Calibri"/>
          <w:sz w:val="22"/>
          <w:szCs w:val="22"/>
        </w:rPr>
        <w:t>.</w:t>
      </w:r>
    </w:p>
    <w:p w14:paraId="556B568E" w14:textId="031C1408" w:rsidR="00D9047A" w:rsidRPr="00774C25" w:rsidRDefault="00D9047A" w:rsidP="00B14F50">
      <w:pPr>
        <w:ind w:firstLineChars="0" w:firstLine="0"/>
        <w:rPr>
          <w:rFonts w:ascii="Calibri" w:hAnsi="Calibri" w:cs="Calibri"/>
          <w:b/>
          <w:bCs/>
          <w:sz w:val="22"/>
          <w:szCs w:val="22"/>
          <w:lang w:val="en-GB" w:eastAsia="en-US"/>
        </w:rPr>
      </w:pPr>
      <w:r w:rsidRPr="00774C25">
        <w:rPr>
          <w:rFonts w:ascii="Calibri" w:hAnsi="Calibri" w:cs="Calibri"/>
          <w:b/>
          <w:bCs/>
          <w:sz w:val="22"/>
          <w:szCs w:val="22"/>
          <w:lang w:val="en-GB" w:eastAsia="en-US"/>
        </w:rPr>
        <w:t>Proposal 1: Confirm the XR and cloud gaming applications in the WI for XR evaluations</w:t>
      </w:r>
    </w:p>
    <w:p w14:paraId="15E276FD" w14:textId="419562D7" w:rsidR="00B14F50" w:rsidRPr="00774C25" w:rsidRDefault="00B14F50" w:rsidP="00B14F50">
      <w:pPr>
        <w:ind w:firstLineChars="0" w:firstLine="0"/>
        <w:rPr>
          <w:rFonts w:ascii="Calibri" w:hAnsi="Calibri" w:cs="Calibri"/>
          <w:b/>
          <w:bCs/>
          <w:sz w:val="22"/>
          <w:szCs w:val="22"/>
          <w:lang w:val="en-GB" w:eastAsia="en-US"/>
        </w:rPr>
      </w:pPr>
      <w:r w:rsidRPr="00774C25">
        <w:rPr>
          <w:rFonts w:ascii="Calibri" w:hAnsi="Calibri" w:cs="Calibri"/>
          <w:b/>
          <w:bCs/>
          <w:sz w:val="22"/>
          <w:szCs w:val="22"/>
          <w:lang w:val="en-GB" w:eastAsia="en-US"/>
        </w:rPr>
        <w:t xml:space="preserve">Proposal </w:t>
      </w:r>
      <w:r w:rsidR="00D9047A" w:rsidRPr="00774C25">
        <w:rPr>
          <w:rFonts w:ascii="Calibri" w:hAnsi="Calibri" w:cs="Calibri"/>
          <w:b/>
          <w:bCs/>
          <w:sz w:val="22"/>
          <w:szCs w:val="22"/>
          <w:lang w:val="en-GB" w:eastAsia="en-US"/>
        </w:rPr>
        <w:t>2</w:t>
      </w:r>
      <w:r w:rsidRPr="00774C25">
        <w:rPr>
          <w:rFonts w:ascii="Calibri" w:hAnsi="Calibri" w:cs="Calibri"/>
          <w:b/>
          <w:bCs/>
          <w:sz w:val="22"/>
          <w:szCs w:val="22"/>
          <w:lang w:val="en-GB" w:eastAsia="en-US"/>
        </w:rPr>
        <w:t>: NR positioning evaluations and enhancements should be taken into account when discussing XR use cases requirements</w:t>
      </w:r>
    </w:p>
    <w:p w14:paraId="613548DC" w14:textId="77777777" w:rsidR="00076174" w:rsidRPr="00774C25" w:rsidRDefault="00076174" w:rsidP="00076174">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3: Outdoor deployment scenarios are included for XR evaluations. At least a dense urban </w:t>
      </w:r>
      <w:proofErr w:type="spellStart"/>
      <w:r w:rsidRPr="00774C25">
        <w:rPr>
          <w:rFonts w:ascii="Calibri" w:hAnsi="Calibri" w:cs="Calibri"/>
          <w:b/>
          <w:bCs/>
          <w:sz w:val="22"/>
          <w:szCs w:val="22"/>
          <w:lang w:eastAsia="en-US"/>
        </w:rPr>
        <w:t>UMi</w:t>
      </w:r>
      <w:proofErr w:type="spellEnd"/>
      <w:r w:rsidRPr="00774C25">
        <w:rPr>
          <w:rFonts w:ascii="Calibri" w:hAnsi="Calibri" w:cs="Calibri"/>
          <w:b/>
          <w:bCs/>
          <w:sz w:val="22"/>
          <w:szCs w:val="22"/>
          <w:lang w:eastAsia="en-US"/>
        </w:rPr>
        <w:t xml:space="preserve"> scenario with 100% outdoor users for FR2 and a </w:t>
      </w:r>
      <w:proofErr w:type="spellStart"/>
      <w:r w:rsidRPr="00774C25">
        <w:rPr>
          <w:rFonts w:ascii="Calibri" w:hAnsi="Calibri" w:cs="Calibri"/>
          <w:b/>
          <w:bCs/>
          <w:sz w:val="22"/>
          <w:szCs w:val="22"/>
          <w:lang w:eastAsia="en-US"/>
        </w:rPr>
        <w:t>UMa</w:t>
      </w:r>
      <w:proofErr w:type="spellEnd"/>
      <w:r w:rsidRPr="00774C25">
        <w:rPr>
          <w:rFonts w:ascii="Calibri" w:hAnsi="Calibri" w:cs="Calibri"/>
          <w:b/>
          <w:bCs/>
          <w:sz w:val="22"/>
          <w:szCs w:val="22"/>
          <w:lang w:eastAsia="en-US"/>
        </w:rPr>
        <w:t xml:space="preserve"> scenario with both indoor and outdoor users for FR1 should be considered.</w:t>
      </w:r>
    </w:p>
    <w:p w14:paraId="2A84331B" w14:textId="77777777" w:rsidR="00076174" w:rsidRPr="00774C25" w:rsidRDefault="00076174" w:rsidP="00076174">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4: An indoor deployment scenario is included for XR evaluations. At least the clustered/hotspot user dropping within the </w:t>
      </w:r>
      <w:proofErr w:type="spellStart"/>
      <w:r w:rsidRPr="00774C25">
        <w:rPr>
          <w:rFonts w:ascii="Calibri" w:hAnsi="Calibri" w:cs="Calibri"/>
          <w:b/>
          <w:bCs/>
          <w:sz w:val="22"/>
          <w:szCs w:val="22"/>
          <w:lang w:eastAsia="en-US"/>
        </w:rPr>
        <w:t>InH</w:t>
      </w:r>
      <w:proofErr w:type="spellEnd"/>
      <w:r w:rsidRPr="00774C25">
        <w:rPr>
          <w:rFonts w:ascii="Calibri" w:hAnsi="Calibri" w:cs="Calibri"/>
          <w:b/>
          <w:bCs/>
          <w:sz w:val="22"/>
          <w:szCs w:val="22"/>
          <w:lang w:eastAsia="en-US"/>
        </w:rPr>
        <w:t xml:space="preserve"> scenario for both FR1 and FR2 should be considered.</w:t>
      </w:r>
    </w:p>
    <w:p w14:paraId="4000F9AE" w14:textId="7FB412A1" w:rsidR="00B14F50" w:rsidRPr="00774C25" w:rsidRDefault="00B14F50" w:rsidP="00B14F50">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sidR="00D9047A" w:rsidRPr="00774C25">
        <w:rPr>
          <w:rFonts w:ascii="Calibri" w:hAnsi="Calibri" w:cs="Calibri"/>
          <w:b/>
          <w:bCs/>
          <w:sz w:val="22"/>
          <w:szCs w:val="22"/>
          <w:lang w:eastAsia="en-US"/>
        </w:rPr>
        <w:t>5</w:t>
      </w:r>
      <w:r w:rsidRPr="00774C25">
        <w:rPr>
          <w:rFonts w:ascii="Calibri" w:hAnsi="Calibri" w:cs="Calibri"/>
          <w:b/>
          <w:bCs/>
          <w:sz w:val="22"/>
          <w:szCs w:val="22"/>
          <w:lang w:eastAsia="en-US"/>
        </w:rPr>
        <w:t>: The following KPIs should be considered as part of the study:</w:t>
      </w:r>
    </w:p>
    <w:p w14:paraId="00775B29" w14:textId="77777777" w:rsidR="00B14F50" w:rsidRPr="00774C25" w:rsidRDefault="00B14F50" w:rsidP="00B14F50">
      <w:pPr>
        <w:pStyle w:val="ListParagraph"/>
        <w:numPr>
          <w:ilvl w:val="0"/>
          <w:numId w:val="25"/>
        </w:numPr>
        <w:ind w:firstLineChars="0"/>
        <w:rPr>
          <w:rFonts w:eastAsia="Batang" w:cs="Calibri"/>
          <w:b/>
          <w:bCs/>
          <w:lang w:eastAsia="en-US"/>
        </w:rPr>
      </w:pPr>
      <w:r w:rsidRPr="00774C25">
        <w:rPr>
          <w:rFonts w:eastAsia="Batang" w:cs="Calibri"/>
          <w:b/>
          <w:bCs/>
          <w:lang w:eastAsia="en-US"/>
        </w:rPr>
        <w:t>Percentage of packets within a DL/UL packet delay budget</w:t>
      </w:r>
    </w:p>
    <w:p w14:paraId="7DF0EA4A" w14:textId="77777777" w:rsidR="00B14F50" w:rsidRPr="00774C25" w:rsidRDefault="00B14F50" w:rsidP="00B14F50">
      <w:pPr>
        <w:pStyle w:val="ListParagraph"/>
        <w:numPr>
          <w:ilvl w:val="0"/>
          <w:numId w:val="25"/>
        </w:numPr>
        <w:ind w:firstLineChars="0"/>
        <w:rPr>
          <w:rFonts w:eastAsia="Batang" w:cs="Calibri"/>
          <w:b/>
          <w:bCs/>
          <w:lang w:eastAsia="en-US"/>
        </w:rPr>
      </w:pPr>
      <w:r w:rsidRPr="00774C25">
        <w:rPr>
          <w:rFonts w:eastAsia="Batang" w:cs="Calibri"/>
          <w:b/>
          <w:bCs/>
          <w:lang w:eastAsia="en-US"/>
        </w:rPr>
        <w:t>Packet error rate</w:t>
      </w:r>
    </w:p>
    <w:p w14:paraId="1E591425" w14:textId="77777777" w:rsidR="00B14F50" w:rsidRPr="00774C25" w:rsidRDefault="00B14F50" w:rsidP="00B14F50">
      <w:pPr>
        <w:pStyle w:val="ListParagraph"/>
        <w:numPr>
          <w:ilvl w:val="0"/>
          <w:numId w:val="25"/>
        </w:numPr>
        <w:ind w:firstLineChars="0"/>
        <w:rPr>
          <w:rFonts w:eastAsia="Batang" w:cs="Calibri"/>
          <w:b/>
          <w:bCs/>
          <w:lang w:eastAsia="en-US"/>
        </w:rPr>
      </w:pPr>
      <w:r w:rsidRPr="00774C25">
        <w:rPr>
          <w:rFonts w:eastAsia="Batang" w:cs="Calibri"/>
          <w:b/>
          <w:bCs/>
          <w:lang w:eastAsia="en-US"/>
        </w:rPr>
        <w:t>User perceived throughput distribution</w:t>
      </w:r>
    </w:p>
    <w:p w14:paraId="5A6686D0" w14:textId="77777777" w:rsidR="00B14F50" w:rsidRPr="00774C25" w:rsidRDefault="00B14F50" w:rsidP="00B14F50">
      <w:pPr>
        <w:pStyle w:val="ListParagraph"/>
        <w:numPr>
          <w:ilvl w:val="0"/>
          <w:numId w:val="25"/>
        </w:numPr>
        <w:ind w:firstLineChars="0"/>
        <w:rPr>
          <w:rFonts w:eastAsia="Batang" w:cs="Calibri"/>
          <w:b/>
          <w:bCs/>
          <w:lang w:eastAsia="en-US"/>
        </w:rPr>
      </w:pPr>
      <w:r w:rsidRPr="00774C25">
        <w:rPr>
          <w:rFonts w:eastAsia="Batang" w:cs="Calibri"/>
          <w:b/>
          <w:bCs/>
          <w:lang w:eastAsia="en-US"/>
        </w:rPr>
        <w:t>User SINR distribution</w:t>
      </w:r>
    </w:p>
    <w:p w14:paraId="0EAC8264" w14:textId="6C0B151A" w:rsidR="00682F0E" w:rsidRPr="00682F0E" w:rsidRDefault="00682F0E" w:rsidP="00682F0E"/>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1305A4">
      <w:pPr>
        <w:spacing w:before="0" w:after="0" w:line="240" w:lineRule="auto"/>
        <w:ind w:left="420"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6C2FE45E" w14:textId="708FC7A1" w:rsidR="002A49FA" w:rsidRPr="00774C25" w:rsidRDefault="00714D04" w:rsidP="002A49FA">
      <w:pPr>
        <w:rPr>
          <w:rFonts w:ascii="Calibri" w:hAnsi="Calibri" w:cs="Calibri"/>
        </w:rPr>
      </w:pPr>
      <w:r w:rsidRPr="00774C25">
        <w:rPr>
          <w:rFonts w:ascii="Calibri" w:hAnsi="Calibri" w:cs="Calibri"/>
        </w:rPr>
        <w:tab/>
        <w:t xml:space="preserve">   [2] TR 38.855, Study on NR positioning Support, Mar. 2019</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14DC9" w14:textId="77777777" w:rsidR="00366036" w:rsidRDefault="00366036" w:rsidP="007378B8">
      <w:r>
        <w:separator/>
      </w:r>
    </w:p>
  </w:endnote>
  <w:endnote w:type="continuationSeparator" w:id="0">
    <w:p w14:paraId="477E0188" w14:textId="77777777" w:rsidR="00366036" w:rsidRDefault="0036603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6C7F0" w14:textId="77777777" w:rsidR="00366036" w:rsidRDefault="00366036" w:rsidP="007378B8">
      <w:r>
        <w:separator/>
      </w:r>
    </w:p>
  </w:footnote>
  <w:footnote w:type="continuationSeparator" w:id="0">
    <w:p w14:paraId="15932B62" w14:textId="77777777" w:rsidR="00366036" w:rsidRDefault="0036603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16"/>
  </w:num>
  <w:num w:numId="4">
    <w:abstractNumId w:val="21"/>
  </w:num>
  <w:num w:numId="5">
    <w:abstractNumId w:val="2"/>
  </w:num>
  <w:num w:numId="6">
    <w:abstractNumId w:val="10"/>
  </w:num>
  <w:num w:numId="7">
    <w:abstractNumId w:val="24"/>
  </w:num>
  <w:num w:numId="8">
    <w:abstractNumId w:val="3"/>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3"/>
  </w:num>
  <w:num w:numId="12">
    <w:abstractNumId w:val="22"/>
  </w:num>
  <w:num w:numId="13">
    <w:abstractNumId w:val="4"/>
  </w:num>
  <w:num w:numId="14">
    <w:abstractNumId w:val="12"/>
  </w:num>
  <w:num w:numId="15">
    <w:abstractNumId w:val="18"/>
  </w:num>
  <w:num w:numId="16">
    <w:abstractNumId w:val="9"/>
  </w:num>
  <w:num w:numId="17">
    <w:abstractNumId w:val="6"/>
  </w:num>
  <w:num w:numId="18">
    <w:abstractNumId w:val="11"/>
  </w:num>
  <w:num w:numId="19">
    <w:abstractNumId w:val="0"/>
  </w:num>
  <w:num w:numId="20">
    <w:abstractNumId w:val="19"/>
  </w:num>
  <w:num w:numId="21">
    <w:abstractNumId w:val="20"/>
  </w:num>
  <w:num w:numId="22">
    <w:abstractNumId w:val="7"/>
  </w:num>
  <w:num w:numId="23">
    <w:abstractNumId w:val="8"/>
  </w:num>
  <w:num w:numId="24">
    <w:abstractNumId w:val="17"/>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1397</Words>
  <Characters>7672</Characters>
  <Application>Microsoft Office Word</Application>
  <DocSecurity>0</DocSecurity>
  <Lines>141</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7</cp:revision>
  <dcterms:created xsi:type="dcterms:W3CDTF">2020-10-23T19:47:00Z</dcterms:created>
  <dcterms:modified xsi:type="dcterms:W3CDTF">2020-10-23T20:07:00Z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